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85" w:rsidRPr="00307385" w:rsidRDefault="00307385" w:rsidP="00C567F4">
      <w:pPr>
        <w:pStyle w:val="section1"/>
        <w:spacing w:before="0" w:beforeAutospacing="0" w:after="0" w:afterAutospacing="0"/>
        <w:rPr>
          <w:rFonts w:ascii="Century Gothic" w:hAnsi="Century Gothic" w:cstheme="minorHAnsi"/>
          <w:b/>
          <w:sz w:val="32"/>
          <w:szCs w:val="32"/>
        </w:rPr>
      </w:pPr>
      <w:bookmarkStart w:id="0" w:name="_GoBack"/>
      <w:r w:rsidRPr="00307385">
        <w:rPr>
          <w:rFonts w:ascii="Century Gothic" w:hAnsi="Century Gothic" w:cstheme="minorHAnsi"/>
          <w:b/>
          <w:sz w:val="32"/>
          <w:szCs w:val="32"/>
        </w:rPr>
        <w:t>ENERJİ VERİMLİLİĞİ ÇÖZÜM ÖNERİSİ</w:t>
      </w:r>
    </w:p>
    <w:bookmarkEnd w:id="0"/>
    <w:p w:rsidR="00307385" w:rsidRDefault="00307385" w:rsidP="00C567F4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C567F4" w:rsidRPr="00307385" w:rsidRDefault="00C567F4" w:rsidP="00C567F4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307385">
        <w:rPr>
          <w:rFonts w:ascii="Century Gothic" w:hAnsi="Century Gothic" w:cstheme="minorHAnsi"/>
          <w:sz w:val="22"/>
          <w:szCs w:val="22"/>
        </w:rPr>
        <w:t xml:space="preserve">Türkiye, 2007 yılında çıkardığı 5627 sayılı enerji verimliliği kanunu ile </w:t>
      </w:r>
      <w:r w:rsidRPr="00307385">
        <w:rPr>
          <w:rFonts w:ascii="Century Gothic" w:hAnsi="Century Gothic" w:cstheme="minorHAnsi"/>
          <w:b/>
          <w:bCs/>
          <w:sz w:val="22"/>
          <w:szCs w:val="22"/>
        </w:rPr>
        <w:t>enerji verimliliği temel göstergesi olan enerji yoğunluğunu</w:t>
      </w:r>
      <w:r w:rsidRPr="00307385">
        <w:rPr>
          <w:rFonts w:ascii="Century Gothic" w:hAnsi="Century Gothic" w:cstheme="minorHAnsi"/>
          <w:sz w:val="22"/>
          <w:szCs w:val="22"/>
        </w:rPr>
        <w:t xml:space="preserve"> (milli gelir başına harcanan enerji) </w:t>
      </w:r>
      <w:r w:rsidRPr="00307385">
        <w:rPr>
          <w:rFonts w:ascii="Century Gothic" w:hAnsi="Century Gothic" w:cstheme="minorHAnsi"/>
          <w:b/>
          <w:bCs/>
          <w:sz w:val="22"/>
          <w:szCs w:val="22"/>
        </w:rPr>
        <w:t>2020 yılına kadar %15-20 düşürmeyi hedeflemişti.</w:t>
      </w:r>
      <w:r w:rsidRPr="00307385">
        <w:rPr>
          <w:rFonts w:ascii="Century Gothic" w:hAnsi="Century Gothic" w:cstheme="minorHAnsi"/>
          <w:sz w:val="22"/>
          <w:szCs w:val="22"/>
        </w:rPr>
        <w:t xml:space="preserve"> A</w:t>
      </w:r>
      <w:r w:rsidR="00307385">
        <w:rPr>
          <w:rFonts w:ascii="Century Gothic" w:hAnsi="Century Gothic" w:cstheme="minorHAnsi"/>
          <w:sz w:val="22"/>
          <w:szCs w:val="22"/>
        </w:rPr>
        <w:t xml:space="preserve">ncak, Enerji Bakanlığı’ </w:t>
      </w:r>
      <w:proofErr w:type="spellStart"/>
      <w:r w:rsidR="00307385">
        <w:rPr>
          <w:rFonts w:ascii="Century Gothic" w:hAnsi="Century Gothic" w:cstheme="minorHAnsi"/>
          <w:sz w:val="22"/>
          <w:szCs w:val="22"/>
        </w:rPr>
        <w:t>nın</w:t>
      </w:r>
      <w:proofErr w:type="spellEnd"/>
      <w:r w:rsidR="00307385">
        <w:rPr>
          <w:rFonts w:ascii="Century Gothic" w:hAnsi="Century Gothic" w:cstheme="minorHAnsi"/>
          <w:sz w:val="22"/>
          <w:szCs w:val="22"/>
        </w:rPr>
        <w:t xml:space="preserve"> </w:t>
      </w:r>
      <w:r w:rsidRPr="00307385">
        <w:rPr>
          <w:rFonts w:ascii="Century Gothic" w:hAnsi="Century Gothic" w:cstheme="minorHAnsi"/>
          <w:sz w:val="22"/>
          <w:szCs w:val="22"/>
        </w:rPr>
        <w:t>yayınladığı stratejik planda, 2012 sonu itibarı ile pek bir iyileşme sağlanamadığı tespit edilmektedir. Bu olumsuz sonucun nedeni sorulduğunda; bu işi yönetmesi düşünülen Elektrik İşleri Etüt İdaresi (EİE)’</w:t>
      </w:r>
      <w:proofErr w:type="spellStart"/>
      <w:r w:rsidRPr="00307385">
        <w:rPr>
          <w:rFonts w:ascii="Century Gothic" w:hAnsi="Century Gothic" w:cstheme="minorHAnsi"/>
          <w:sz w:val="22"/>
          <w:szCs w:val="22"/>
        </w:rPr>
        <w:t>nin</w:t>
      </w:r>
      <w:proofErr w:type="spellEnd"/>
      <w:r w:rsidRPr="00307385">
        <w:rPr>
          <w:rFonts w:ascii="Century Gothic" w:hAnsi="Century Gothic" w:cstheme="minorHAnsi"/>
          <w:sz w:val="22"/>
          <w:szCs w:val="22"/>
        </w:rPr>
        <w:t xml:space="preserve"> kapatılmasından, zorunlulukların devreye girmemesi, yaptırımların gerçekleştirilmemesi, enerji verimliliğinin enerji tasarrufu olarak algılanması vb. nedenler sayılıyor. </w:t>
      </w:r>
      <w:proofErr w:type="gramStart"/>
      <w:r w:rsidRPr="00307385">
        <w:rPr>
          <w:rFonts w:ascii="Century Gothic" w:hAnsi="Century Gothic" w:cstheme="minorHAnsi"/>
          <w:sz w:val="22"/>
          <w:szCs w:val="22"/>
        </w:rPr>
        <w:t>Halbuki,</w:t>
      </w:r>
      <w:proofErr w:type="gramEnd"/>
      <w:r w:rsidRPr="00307385">
        <w:rPr>
          <w:rFonts w:ascii="Century Gothic" w:hAnsi="Century Gothic" w:cstheme="minorHAnsi"/>
          <w:sz w:val="22"/>
          <w:szCs w:val="22"/>
        </w:rPr>
        <w:t xml:space="preserve"> bu işe </w:t>
      </w:r>
      <w:r w:rsidRPr="00307385">
        <w:rPr>
          <w:rFonts w:ascii="Century Gothic" w:hAnsi="Century Gothic" w:cstheme="minorHAnsi"/>
          <w:b/>
          <w:bCs/>
          <w:sz w:val="22"/>
          <w:szCs w:val="22"/>
        </w:rPr>
        <w:t>1990 yılında başlayan İngiltere ve Almanya, 2004 yılına kadar enerji yoğunluklarını %17 - %23 düşürebilmişlerdi</w:t>
      </w:r>
      <w:r w:rsidRPr="00307385">
        <w:rPr>
          <w:rFonts w:ascii="Century Gothic" w:hAnsi="Century Gothic" w:cstheme="minorHAnsi"/>
          <w:sz w:val="22"/>
          <w:szCs w:val="22"/>
        </w:rPr>
        <w:t>.</w:t>
      </w:r>
    </w:p>
    <w:p w:rsidR="00C567F4" w:rsidRPr="00307385" w:rsidRDefault="00C567F4" w:rsidP="00C567F4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C567F4" w:rsidRPr="00307385" w:rsidRDefault="00C567F4" w:rsidP="00C567F4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307385">
        <w:rPr>
          <w:rFonts w:ascii="Century Gothic" w:hAnsi="Century Gothic" w:cstheme="minorHAnsi"/>
          <w:sz w:val="22"/>
          <w:szCs w:val="22"/>
        </w:rPr>
        <w:t xml:space="preserve">Bana göre, </w:t>
      </w:r>
      <w:r w:rsidRPr="00307385">
        <w:rPr>
          <w:rFonts w:ascii="Century Gothic" w:hAnsi="Century Gothic" w:cstheme="minorHAnsi"/>
          <w:b/>
          <w:bCs/>
          <w:sz w:val="22"/>
          <w:szCs w:val="22"/>
        </w:rPr>
        <w:t xml:space="preserve">potansiyelinin yüksek olmasına rağmen </w:t>
      </w:r>
      <w:r w:rsidR="00307385">
        <w:rPr>
          <w:rFonts w:ascii="Century Gothic" w:hAnsi="Century Gothic" w:cstheme="minorHAnsi"/>
          <w:b/>
          <w:bCs/>
          <w:sz w:val="22"/>
          <w:szCs w:val="22"/>
        </w:rPr>
        <w:t xml:space="preserve">enerji yoğunluğunun </w:t>
      </w:r>
      <w:r w:rsidRPr="00307385">
        <w:rPr>
          <w:rFonts w:ascii="Century Gothic" w:hAnsi="Century Gothic" w:cstheme="minorHAnsi"/>
          <w:b/>
          <w:bCs/>
          <w:sz w:val="22"/>
          <w:szCs w:val="22"/>
        </w:rPr>
        <w:t>düşür</w:t>
      </w:r>
      <w:r w:rsidR="00307385">
        <w:rPr>
          <w:rFonts w:ascii="Century Gothic" w:hAnsi="Century Gothic" w:cstheme="minorHAnsi"/>
          <w:b/>
          <w:bCs/>
          <w:sz w:val="22"/>
          <w:szCs w:val="22"/>
        </w:rPr>
        <w:t>ül</w:t>
      </w:r>
      <w:r w:rsidRPr="00307385">
        <w:rPr>
          <w:rFonts w:ascii="Century Gothic" w:hAnsi="Century Gothic" w:cstheme="minorHAnsi"/>
          <w:b/>
          <w:bCs/>
          <w:sz w:val="22"/>
          <w:szCs w:val="22"/>
        </w:rPr>
        <w:t xml:space="preserve">ememesinin en önemli nedeni, milli hedefini </w:t>
      </w:r>
      <w:r w:rsidR="00307385">
        <w:rPr>
          <w:rFonts w:ascii="Century Gothic" w:hAnsi="Century Gothic" w:cstheme="minorHAnsi"/>
          <w:b/>
          <w:bCs/>
          <w:sz w:val="22"/>
          <w:szCs w:val="22"/>
        </w:rPr>
        <w:t>sektörlere yansıtmaması</w:t>
      </w:r>
      <w:r w:rsidRPr="00307385">
        <w:rPr>
          <w:rFonts w:ascii="Century Gothic" w:hAnsi="Century Gothic" w:cstheme="minorHAnsi"/>
          <w:sz w:val="22"/>
          <w:szCs w:val="22"/>
        </w:rPr>
        <w:t xml:space="preserve">, yani; sektörlerine/firmalarına da benzer hedefler </w:t>
      </w:r>
      <w:proofErr w:type="gramStart"/>
      <w:r w:rsidRPr="00307385">
        <w:rPr>
          <w:rFonts w:ascii="Century Gothic" w:hAnsi="Century Gothic" w:cstheme="minorHAnsi"/>
          <w:sz w:val="22"/>
          <w:szCs w:val="22"/>
        </w:rPr>
        <w:t>empoze etmemesi</w:t>
      </w:r>
      <w:proofErr w:type="gramEnd"/>
      <w:r w:rsidRPr="00307385">
        <w:rPr>
          <w:rFonts w:ascii="Century Gothic" w:hAnsi="Century Gothic" w:cstheme="minorHAnsi"/>
          <w:sz w:val="22"/>
          <w:szCs w:val="22"/>
        </w:rPr>
        <w:t>. Devlet bir hedef koyuyor ama bunu hayata geçirecek olan sektörlerinin (</w:t>
      </w:r>
      <w:proofErr w:type="gramStart"/>
      <w:r w:rsidRPr="00307385">
        <w:rPr>
          <w:rFonts w:ascii="Century Gothic" w:hAnsi="Century Gothic" w:cstheme="minorHAnsi"/>
          <w:sz w:val="22"/>
          <w:szCs w:val="22"/>
        </w:rPr>
        <w:t>sanayi ,bina</w:t>
      </w:r>
      <w:proofErr w:type="gramEnd"/>
      <w:r w:rsidRPr="00307385">
        <w:rPr>
          <w:rFonts w:ascii="Century Gothic" w:hAnsi="Century Gothic" w:cstheme="minorHAnsi"/>
          <w:sz w:val="22"/>
          <w:szCs w:val="22"/>
        </w:rPr>
        <w:t xml:space="preserve">, ulaşım, çimento, seramik, cam, demir-çelik, </w:t>
      </w:r>
      <w:proofErr w:type="spellStart"/>
      <w:r w:rsidRPr="00307385">
        <w:rPr>
          <w:rFonts w:ascii="Century Gothic" w:hAnsi="Century Gothic" w:cstheme="minorHAnsi"/>
          <w:sz w:val="22"/>
          <w:szCs w:val="22"/>
        </w:rPr>
        <w:t>vb</w:t>
      </w:r>
      <w:proofErr w:type="spellEnd"/>
      <w:r w:rsidRPr="00307385">
        <w:rPr>
          <w:rFonts w:ascii="Century Gothic" w:hAnsi="Century Gothic" w:cstheme="minorHAnsi"/>
          <w:sz w:val="22"/>
          <w:szCs w:val="22"/>
        </w:rPr>
        <w:t xml:space="preserve">) ne kadar potansiyeli olduğunu sektörlerle beraber belirleyip, sektörlerle birlikte her bir sektöre özgü, </w:t>
      </w:r>
      <w:r w:rsidRPr="00307385">
        <w:rPr>
          <w:rFonts w:ascii="Century Gothic" w:hAnsi="Century Gothic" w:cstheme="minorHAnsi"/>
          <w:b/>
          <w:bCs/>
          <w:sz w:val="22"/>
          <w:szCs w:val="22"/>
        </w:rPr>
        <w:t>yıllar bazında takip edilebilecek</w:t>
      </w:r>
      <w:r w:rsidRPr="00307385">
        <w:rPr>
          <w:rFonts w:ascii="Century Gothic" w:hAnsi="Century Gothic" w:cstheme="minorHAnsi"/>
          <w:sz w:val="22"/>
          <w:szCs w:val="22"/>
        </w:rPr>
        <w:t xml:space="preserve"> </w:t>
      </w:r>
      <w:r w:rsidRPr="00307385">
        <w:rPr>
          <w:rFonts w:ascii="Century Gothic" w:hAnsi="Century Gothic" w:cstheme="minorHAnsi"/>
          <w:b/>
          <w:bCs/>
          <w:sz w:val="22"/>
          <w:szCs w:val="22"/>
        </w:rPr>
        <w:t>hedefler</w:t>
      </w:r>
      <w:r w:rsidRPr="00307385">
        <w:rPr>
          <w:rFonts w:ascii="Century Gothic" w:hAnsi="Century Gothic" w:cstheme="minorHAnsi"/>
          <w:sz w:val="22"/>
          <w:szCs w:val="22"/>
        </w:rPr>
        <w:t xml:space="preserve"> oluşturulmuyor. </w:t>
      </w:r>
    </w:p>
    <w:p w:rsidR="00C567F4" w:rsidRPr="00307385" w:rsidRDefault="00C567F4" w:rsidP="00C567F4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C567F4" w:rsidRPr="00307385" w:rsidRDefault="00C567F4" w:rsidP="00C567F4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307385">
        <w:rPr>
          <w:rFonts w:ascii="Century Gothic" w:hAnsi="Century Gothic" w:cstheme="minorHAnsi"/>
          <w:sz w:val="22"/>
          <w:szCs w:val="22"/>
        </w:rPr>
        <w:t xml:space="preserve">Devletin bir enerji yoğunluğu hedefi var </w:t>
      </w:r>
      <w:proofErr w:type="gramStart"/>
      <w:r w:rsidRPr="00307385">
        <w:rPr>
          <w:rFonts w:ascii="Century Gothic" w:hAnsi="Century Gothic" w:cstheme="minorHAnsi"/>
          <w:sz w:val="22"/>
          <w:szCs w:val="22"/>
        </w:rPr>
        <w:t>ama,</w:t>
      </w:r>
      <w:proofErr w:type="gramEnd"/>
      <w:r w:rsidRPr="00307385">
        <w:rPr>
          <w:rFonts w:ascii="Century Gothic" w:hAnsi="Century Gothic" w:cstheme="minorHAnsi"/>
          <w:sz w:val="22"/>
          <w:szCs w:val="22"/>
        </w:rPr>
        <w:t xml:space="preserve"> sektörlerin/</w:t>
      </w:r>
      <w:r w:rsidRPr="00307385">
        <w:rPr>
          <w:rFonts w:ascii="Century Gothic" w:hAnsi="Century Gothic" w:cstheme="minorHAnsi"/>
          <w:b/>
          <w:bCs/>
          <w:sz w:val="22"/>
          <w:szCs w:val="22"/>
        </w:rPr>
        <w:t>firmaların çoğunun enerji yoğunluğu düşürme hedefi yok</w:t>
      </w:r>
      <w:r w:rsidRPr="00307385">
        <w:rPr>
          <w:rFonts w:ascii="Century Gothic" w:hAnsi="Century Gothic" w:cstheme="minorHAnsi"/>
          <w:sz w:val="22"/>
          <w:szCs w:val="22"/>
        </w:rPr>
        <w:t>. Enerji Yönetimi yapıp hedefleri koyan firmalar da enerji yoğunluğunu değil özgül (</w:t>
      </w:r>
      <w:proofErr w:type="gramStart"/>
      <w:r w:rsidRPr="00307385">
        <w:rPr>
          <w:rFonts w:ascii="Century Gothic" w:hAnsi="Century Gothic" w:cstheme="minorHAnsi"/>
          <w:sz w:val="22"/>
          <w:szCs w:val="22"/>
        </w:rPr>
        <w:t>spesifik</w:t>
      </w:r>
      <w:proofErr w:type="gramEnd"/>
      <w:r w:rsidRPr="00307385">
        <w:rPr>
          <w:rFonts w:ascii="Century Gothic" w:hAnsi="Century Gothic" w:cstheme="minorHAnsi"/>
          <w:sz w:val="22"/>
          <w:szCs w:val="22"/>
        </w:rPr>
        <w:t>) enerji yoğunluğunu, (miktar üretim ton, metre, adet, m</w:t>
      </w:r>
      <w:r w:rsidRPr="00307385">
        <w:rPr>
          <w:rFonts w:ascii="Century Gothic" w:hAnsi="Century Gothic" w:cstheme="minorHAnsi"/>
          <w:sz w:val="22"/>
          <w:szCs w:val="22"/>
          <w:vertAlign w:val="superscript"/>
        </w:rPr>
        <w:t>2</w:t>
      </w:r>
      <w:r w:rsidRPr="00307385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307385">
        <w:rPr>
          <w:rFonts w:ascii="Century Gothic" w:hAnsi="Century Gothic" w:cstheme="minorHAnsi"/>
          <w:sz w:val="22"/>
          <w:szCs w:val="22"/>
        </w:rPr>
        <w:t>vb</w:t>
      </w:r>
      <w:proofErr w:type="spellEnd"/>
      <w:r w:rsidRPr="00307385">
        <w:rPr>
          <w:rFonts w:ascii="Century Gothic" w:hAnsi="Century Gothic" w:cstheme="minorHAnsi"/>
          <w:sz w:val="22"/>
          <w:szCs w:val="22"/>
        </w:rPr>
        <w:t xml:space="preserve"> başına harcanan enerji) takip ediyor ki bu değer de yüksek katma değerli ürünler üretemediğimizden ürünümüzün reel olarak d</w:t>
      </w:r>
      <w:r w:rsidR="00307385" w:rsidRPr="00307385">
        <w:rPr>
          <w:rFonts w:ascii="Century Gothic" w:hAnsi="Century Gothic" w:cstheme="minorHAnsi"/>
          <w:sz w:val="22"/>
          <w:szCs w:val="22"/>
        </w:rPr>
        <w:t>eğer kaybını bile karşıla</w:t>
      </w:r>
      <w:r w:rsidRPr="00307385">
        <w:rPr>
          <w:rFonts w:ascii="Century Gothic" w:hAnsi="Century Gothic" w:cstheme="minorHAnsi"/>
          <w:sz w:val="22"/>
          <w:szCs w:val="22"/>
        </w:rPr>
        <w:t>ma</w:t>
      </w:r>
      <w:r w:rsidR="00307385" w:rsidRPr="00307385">
        <w:rPr>
          <w:rFonts w:ascii="Century Gothic" w:hAnsi="Century Gothic" w:cstheme="minorHAnsi"/>
          <w:sz w:val="22"/>
          <w:szCs w:val="22"/>
        </w:rPr>
        <w:t>ya</w:t>
      </w:r>
      <w:r w:rsidRPr="00307385">
        <w:rPr>
          <w:rFonts w:ascii="Century Gothic" w:hAnsi="Century Gothic" w:cstheme="minorHAnsi"/>
          <w:sz w:val="22"/>
          <w:szCs w:val="22"/>
        </w:rPr>
        <w:t xml:space="preserve">biliyor. Yani; </w:t>
      </w:r>
      <w:r w:rsidRPr="00307385">
        <w:rPr>
          <w:rFonts w:ascii="Century Gothic" w:hAnsi="Century Gothic" w:cstheme="minorHAnsi"/>
          <w:b/>
          <w:bCs/>
          <w:sz w:val="22"/>
          <w:szCs w:val="22"/>
        </w:rPr>
        <w:t>devlet ile firmalar/kurumlar aynı dili konuşmuyor, farklı performans hedeflerini takip ediyorlar.</w:t>
      </w:r>
    </w:p>
    <w:p w:rsidR="00C567F4" w:rsidRPr="00307385" w:rsidRDefault="00C567F4" w:rsidP="00C567F4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C567F4" w:rsidRPr="00307385" w:rsidRDefault="00C567F4" w:rsidP="00C567F4">
      <w:pPr>
        <w:pStyle w:val="section1"/>
        <w:spacing w:before="0" w:beforeAutospacing="0" w:after="0" w:afterAutospacing="0"/>
        <w:rPr>
          <w:rFonts w:ascii="Century Gothic" w:hAnsi="Century Gothic" w:cstheme="minorHAnsi"/>
          <w:b/>
          <w:bCs/>
          <w:sz w:val="22"/>
          <w:szCs w:val="22"/>
        </w:rPr>
      </w:pPr>
      <w:r w:rsidRPr="00307385">
        <w:rPr>
          <w:rFonts w:ascii="Century Gothic" w:hAnsi="Century Gothic" w:cstheme="minorHAnsi"/>
          <w:b/>
          <w:bCs/>
          <w:sz w:val="22"/>
          <w:szCs w:val="22"/>
          <w:u w:val="single"/>
        </w:rPr>
        <w:t>Çözüm:</w:t>
      </w:r>
      <w:r w:rsidRPr="00307385">
        <w:rPr>
          <w:rFonts w:ascii="Century Gothic" w:hAnsi="Century Gothic" w:cstheme="minorHAnsi"/>
          <w:b/>
          <w:bCs/>
          <w:sz w:val="22"/>
          <w:szCs w:val="22"/>
        </w:rPr>
        <w:t xml:space="preserve"> Devletin firmalarla/sektör temsilcileri ile toplanıp Türkiye’nin enerji yoğunluğu hedeflerini gerçekleştirebilmesi için gerekli kendi sektör/firma hedeflerini taa</w:t>
      </w:r>
      <w:r w:rsidR="00307385" w:rsidRPr="00307385">
        <w:rPr>
          <w:rFonts w:ascii="Century Gothic" w:hAnsi="Century Gothic" w:cstheme="minorHAnsi"/>
          <w:b/>
          <w:bCs/>
          <w:sz w:val="22"/>
          <w:szCs w:val="22"/>
        </w:rPr>
        <w:t>h</w:t>
      </w:r>
      <w:r w:rsidRPr="00307385">
        <w:rPr>
          <w:rFonts w:ascii="Century Gothic" w:hAnsi="Century Gothic" w:cstheme="minorHAnsi"/>
          <w:b/>
          <w:bCs/>
          <w:sz w:val="22"/>
          <w:szCs w:val="22"/>
        </w:rPr>
        <w:t xml:space="preserve">hüt etmesi ve </w:t>
      </w:r>
      <w:r w:rsidRPr="00307385">
        <w:rPr>
          <w:rFonts w:ascii="Century Gothic" w:hAnsi="Century Gothic" w:cstheme="minorHAnsi"/>
          <w:b/>
          <w:bCs/>
          <w:sz w:val="22"/>
          <w:szCs w:val="22"/>
          <w:u w:val="single"/>
        </w:rPr>
        <w:t>2023’e kadar uygulanacak ve yıllık takip edilecek</w:t>
      </w:r>
      <w:r w:rsidRPr="00307385">
        <w:rPr>
          <w:rFonts w:ascii="Century Gothic" w:hAnsi="Century Gothic" w:cstheme="minorHAnsi"/>
          <w:b/>
          <w:bCs/>
          <w:sz w:val="22"/>
          <w:szCs w:val="22"/>
        </w:rPr>
        <w:t xml:space="preserve"> etkin bir programı (yeterli bütçeli/teşvikli/yaptırımlı) oluşturup hayata geçirmesi. Şehirlerin/İlçelerin enerji yoğunluğu tespit edilerek enerji verimliliği uygulamaları ile belediyeler yarıştırılmalı </w:t>
      </w:r>
      <w:r w:rsidRPr="00307385">
        <w:rPr>
          <w:rFonts w:ascii="Century Gothic" w:hAnsi="Century Gothic" w:cstheme="minorHAnsi"/>
          <w:sz w:val="22"/>
          <w:szCs w:val="22"/>
        </w:rPr>
        <w:t>(Belediyelerin seçim vaa</w:t>
      </w:r>
      <w:r w:rsidR="00307385" w:rsidRPr="00307385">
        <w:rPr>
          <w:rFonts w:ascii="Century Gothic" w:hAnsi="Century Gothic" w:cstheme="minorHAnsi"/>
          <w:sz w:val="22"/>
          <w:szCs w:val="22"/>
        </w:rPr>
        <w:t>t</w:t>
      </w:r>
      <w:r w:rsidRPr="00307385">
        <w:rPr>
          <w:rFonts w:ascii="Century Gothic" w:hAnsi="Century Gothic" w:cstheme="minorHAnsi"/>
          <w:sz w:val="22"/>
          <w:szCs w:val="22"/>
        </w:rPr>
        <w:t>leri arasında enerji yoğunluğu düşürme hedeflerinin de bulunması).</w:t>
      </w:r>
    </w:p>
    <w:p w:rsidR="00FD7FD5" w:rsidRDefault="00096803">
      <w:pPr>
        <w:rPr>
          <w:rFonts w:ascii="Century Gothic" w:hAnsi="Century Gothic" w:cstheme="minorHAnsi"/>
        </w:rPr>
      </w:pPr>
    </w:p>
    <w:p w:rsidR="00307385" w:rsidRPr="00647F3F" w:rsidRDefault="00307385" w:rsidP="00307385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Ayhan Sarıdikmen</w:t>
      </w:r>
    </w:p>
    <w:p w:rsidR="00307385" w:rsidRPr="00647F3F" w:rsidRDefault="00307385" w:rsidP="00307385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Enerji Verimliliği</w:t>
      </w:r>
    </w:p>
    <w:p w:rsidR="00307385" w:rsidRPr="00647F3F" w:rsidRDefault="00307385" w:rsidP="00307385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Eğitim-Etüt-Proje Yöneticisi</w:t>
      </w:r>
    </w:p>
    <w:p w:rsidR="00307385" w:rsidRPr="00647F3F" w:rsidRDefault="00307385" w:rsidP="00307385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ISO 50001 EnYS Baş Tetkikçisi</w:t>
      </w:r>
    </w:p>
    <w:p w:rsidR="00307385" w:rsidRPr="00145F9B" w:rsidRDefault="00307385" w:rsidP="00307385">
      <w:pPr>
        <w:spacing w:after="0" w:line="276" w:lineRule="auto"/>
        <w:rPr>
          <w:rFonts w:ascii="Century Gothic" w:eastAsia="Times New Roman" w:hAnsi="Century Gothic" w:cs="Times New Roman"/>
          <w:b/>
          <w:noProof/>
          <w:lang w:val="tr-TR" w:eastAsia="tr-TR"/>
        </w:rPr>
      </w:pPr>
      <w:r w:rsidRPr="00145F9B">
        <w:rPr>
          <w:rFonts w:ascii="Century Gothic" w:eastAsia="Times New Roman" w:hAnsi="Century Gothic" w:cs="Times New Roman"/>
          <w:noProof/>
          <w:lang w:val="tr-TR" w:eastAsia="tr-TR"/>
        </w:rPr>
        <w:t>gsm</w:t>
      </w:r>
      <w:r w:rsidRPr="00145F9B">
        <w:rPr>
          <w:rFonts w:ascii="Century Gothic" w:eastAsia="Times New Roman" w:hAnsi="Century Gothic" w:cs="Times New Roman"/>
          <w:noProof/>
          <w:lang w:val="tr-TR" w:eastAsia="tr-TR"/>
        </w:rPr>
        <w:tab/>
        <w:t>: +90 (532) 362 14 49</w:t>
      </w:r>
    </w:p>
    <w:p w:rsidR="00807BFE" w:rsidRPr="00C91039" w:rsidRDefault="00807BFE" w:rsidP="00807BFE">
      <w:pPr>
        <w:spacing w:after="0"/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</w:pPr>
      <w:r w:rsidRPr="00C91039"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  <w:t xml:space="preserve">eposta: </w:t>
      </w:r>
      <w:hyperlink r:id="rId4" w:history="1">
        <w:r w:rsidRPr="00C91039">
          <w:rPr>
            <w:rStyle w:val="Kpr"/>
            <w:rFonts w:ascii="Century Gothic" w:eastAsia="Times New Roman" w:hAnsi="Century Gothic" w:cs="Tahoma"/>
            <w:noProof/>
            <w:sz w:val="20"/>
            <w:szCs w:val="20"/>
            <w:lang w:val="tr-TR" w:eastAsia="tr-TR"/>
          </w:rPr>
          <w:t>ayhan@asdproje.com</w:t>
        </w:r>
      </w:hyperlink>
      <w:r w:rsidRPr="00C91039"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  <w:t xml:space="preserve"> </w:t>
      </w:r>
    </w:p>
    <w:p w:rsidR="00307385" w:rsidRPr="00307385" w:rsidRDefault="00307385">
      <w:pPr>
        <w:rPr>
          <w:rFonts w:ascii="Century Gothic" w:hAnsi="Century Gothic" w:cstheme="minorHAnsi"/>
        </w:rPr>
      </w:pPr>
    </w:p>
    <w:sectPr w:rsidR="00307385" w:rsidRPr="003073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F4"/>
    <w:rsid w:val="00096803"/>
    <w:rsid w:val="00307385"/>
    <w:rsid w:val="00624C73"/>
    <w:rsid w:val="00804705"/>
    <w:rsid w:val="00807BFE"/>
    <w:rsid w:val="00C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CB7C"/>
  <w15:chartTrackingRefBased/>
  <w15:docId w15:val="{388D5CEE-4AAB-4F43-9479-BB5A65DE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ction1">
    <w:name w:val="section1"/>
    <w:basedOn w:val="Normal"/>
    <w:uiPriority w:val="99"/>
    <w:rsid w:val="00C567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807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han@asdproj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SARIDİKMEN</dc:creator>
  <cp:keywords/>
  <dc:description/>
  <cp:lastModifiedBy>AYHAN SARIDİKMEN</cp:lastModifiedBy>
  <cp:revision>3</cp:revision>
  <dcterms:created xsi:type="dcterms:W3CDTF">2017-01-03T15:41:00Z</dcterms:created>
  <dcterms:modified xsi:type="dcterms:W3CDTF">2017-10-16T12:33:00Z</dcterms:modified>
</cp:coreProperties>
</file>